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РФ от 08.12.2009 N 962н</w:t>
              <w:br/>
              <w:t xml:space="preserve">"Об утверждении Положения о порядке регистрации в территориальных органах Федеральной службы по труду и занятости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Федерации"</w:t>
              <w:br/>
              <w:t xml:space="preserve">(Зарегистрировано в Минюсте РФ 22.01.2010 N 16038)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22 января 2010 г. N 16038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2009 г. N 962н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ПОРЯДКЕ РЕГИСТРАЦИИ В ТЕРРИТОРИАЛЬНЫХ ОРГАНАХ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ТРУДУ И ЗАНЯТОСТИ ТРУДОВЫХ ДОГОВОРОВ,</w:t>
      </w:r>
    </w:p>
    <w:p>
      <w:pPr>
        <w:pStyle w:val="2"/>
        <w:jc w:val="center"/>
      </w:pPr>
      <w:r>
        <w:rPr>
          <w:sz w:val="20"/>
        </w:rPr>
        <w:t xml:space="preserve">ЗАКЛЮЧЕННЫХ ПРИ ПОСРЕДНИЧЕСТВЕ ОРГАНИЗАЦИЙ ПО НАЙМУ</w:t>
      </w:r>
    </w:p>
    <w:p>
      <w:pPr>
        <w:pStyle w:val="2"/>
        <w:jc w:val="center"/>
      </w:pPr>
      <w:r>
        <w:rPr>
          <w:sz w:val="20"/>
        </w:rPr>
        <w:t xml:space="preserve">И ТРУДОУСТРОЙСТВУ МОРЯКОВ, С РОССИЙСКИМИ ГРАЖДАНАМИ,</w:t>
      </w:r>
    </w:p>
    <w:p>
      <w:pPr>
        <w:pStyle w:val="2"/>
        <w:jc w:val="center"/>
      </w:pPr>
      <w:r>
        <w:rPr>
          <w:sz w:val="20"/>
        </w:rPr>
        <w:t xml:space="preserve">ИНОСТРАННЫМИ ГРАЖДАНАМИ И ЛИЦАМИ БЕЗ ГРАЖДАНСТВА</w:t>
      </w:r>
    </w:p>
    <w:p>
      <w:pPr>
        <w:pStyle w:val="2"/>
        <w:jc w:val="center"/>
      </w:pPr>
      <w:r>
        <w:rPr>
          <w:sz w:val="20"/>
        </w:rPr>
        <w:t xml:space="preserve">ДЛЯ РАБОТЫ В СОСТАВЕ ЭКИПАЖЕЙ МОРСКИХ СУДОВ, ПЛАВАЮЩИХ</w:t>
      </w:r>
    </w:p>
    <w:p>
      <w:pPr>
        <w:pStyle w:val="2"/>
        <w:jc w:val="center"/>
      </w:pPr>
      <w:r>
        <w:rPr>
          <w:sz w:val="20"/>
        </w:rPr>
        <w:t xml:space="preserve">ПОД ГОСУДАРСТВЕННЫМ ФЛАГОМ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4.12.2008 N 1009 (ред. от 25.03.2013) &quot;О возложении на Министерство труда и социальной защиты Российской Федерации функций компетентного органа, предусмотренных Конвенцией Международной организации труда N 179 о найме и трудоустройстве моря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декабря 2008 г. N 1009 "О возложении на Министерство здравоохранения и социального развития Российской Федерации функций компетентного органа, предусмотренных Конвенцией Международной организации труда N 179 о найме и трудоустройстве моряков" (Собрание законодательства Российской Федерации, 2009, N 2, ст. 217) в целях реализации положений </w:t>
      </w:r>
      <w:hyperlink w:history="0" r:id="rId8" w:tooltip="Конвенция N 179 Международной организации труда &quot;О найме и трудоустройстве моряков&quot; (принята в г. Женеве 22.10.1996 на 84-ой сессии Генеральной конференции МОТ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Международной организации труда N 179 о найме и трудоустройстве моряков (Собрание законодательства Российской Федерации, 2004, N 39, ст. 3834)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регистрации в территориальных органах Федеральной службы по труду и занятости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Организациям по найму и трудоустройству моряков при заключении трудовых договоров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Федерации, руководствоваться </w:t>
      </w:r>
      <w:hyperlink w:history="0" w:anchor="P3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Федеральной службе по труду и занятости (Герций Ю.В.) обеспечить </w:t>
      </w:r>
      <w:hyperlink w:history="0" r:id="rId9" w:tooltip="Приказ Роструда от 11.06.2010 N 168 &quot;Об утверждении Порядка формирования и ведения в Федеральной службе по труду и занятости и ее территориальных органах (государственных инспекциях труда в субъектах Российской Федерации) реестра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&quot; {КонсультантПлюс}">
        <w:r>
          <w:rPr>
            <w:sz w:val="20"/>
            <w:color w:val="0000ff"/>
          </w:rPr>
          <w:t xml:space="preserve">формирование и ведение</w:t>
        </w:r>
      </w:hyperlink>
      <w:r>
        <w:rPr>
          <w:sz w:val="20"/>
        </w:rPr>
        <w:t xml:space="preserve"> </w:t>
      </w:r>
      <w:hyperlink w:history="0" w:anchor="P146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здравоохранения и социального развития Российской Федерации А.Л. Сафонова.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декабря 2009 г. N 962н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РЕГИСТРАЦИИ В ТЕРРИТОРИАЛЬНЫХ ОРГАНАХ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ТРУДУ И ЗАНЯТОСТИ ТРУДОВЫХ ДОГОВОРОВ,</w:t>
      </w:r>
    </w:p>
    <w:p>
      <w:pPr>
        <w:pStyle w:val="2"/>
        <w:jc w:val="center"/>
      </w:pPr>
      <w:r>
        <w:rPr>
          <w:sz w:val="20"/>
        </w:rPr>
        <w:t xml:space="preserve">ЗАКЛЮЧЕННЫХ ПРИ ПОСРЕДНИЧЕСТВЕ ОРГАНИЗАЦИЙ ПО НАЙМУ</w:t>
      </w:r>
    </w:p>
    <w:p>
      <w:pPr>
        <w:pStyle w:val="2"/>
        <w:jc w:val="center"/>
      </w:pPr>
      <w:r>
        <w:rPr>
          <w:sz w:val="20"/>
        </w:rPr>
        <w:t xml:space="preserve">И ТРУДОУСТРОЙСТВУ МОРЯКОВ, С РОССИЙСКИМИ ГРАЖДАНАМИ,</w:t>
      </w:r>
    </w:p>
    <w:p>
      <w:pPr>
        <w:pStyle w:val="2"/>
        <w:jc w:val="center"/>
      </w:pPr>
      <w:r>
        <w:rPr>
          <w:sz w:val="20"/>
        </w:rPr>
        <w:t xml:space="preserve">ИНОСТРАННЫМИ ГРАЖДАНАМИ И ЛИЦАМИ БЕЗ ГРАЖДАНСТВА</w:t>
      </w:r>
    </w:p>
    <w:p>
      <w:pPr>
        <w:pStyle w:val="2"/>
        <w:jc w:val="center"/>
      </w:pPr>
      <w:r>
        <w:rPr>
          <w:sz w:val="20"/>
        </w:rPr>
        <w:t xml:space="preserve">ДЛЯ РАБОТЫ В СОСТАВЕ ЭКИПАЖЕЙ МОРСКИХ СУДОВ, ПЛАВАЮЩИХ</w:t>
      </w:r>
    </w:p>
    <w:p>
      <w:pPr>
        <w:pStyle w:val="2"/>
        <w:jc w:val="center"/>
      </w:pPr>
      <w:r>
        <w:rPr>
          <w:sz w:val="20"/>
        </w:rPr>
        <w:t xml:space="preserve">ПОД ГОСУДАРСТВЕННЫМ ФЛАГОМ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порядке регистрации в территориальных органах Федеральной службы по труду и занятости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 (далее - Положение), разработано в соответствии с </w:t>
      </w:r>
      <w:hyperlink w:history="0" r:id="rId10" w:tooltip="Постановление Правительства РФ от 24.12.2008 N 1009 (ред. от 25.03.2013) &quot;О возложении на Министерство труда и социальной защиты Российской Федерации функций компетентного органа, предусмотренных Конвенцией Международной организации труда N 179 о найме и трудоустройстве моря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декабря 2008 г. N 1009 "О возложении на Министерство здравоохранения и социального развития Российской Федерации функций компетентного органа, предусмотренных </w:t>
      </w:r>
      <w:hyperlink w:history="0" r:id="rId11" w:tooltip="Конвенция N 179 Международной организации труда &quot;О найме и трудоустройстве моряков&quot; (принята в г. Женеве 22.10.1996 на 84-ой сессии Генеральной конференции МОТ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Международной организации труда N 179 о найме и трудоустройстве моряков" в целях повышения эффективности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 отношении российских граждан, иностранных граждан и лиц без гражданства, нанятых при посредничестве организаций по найму и трудоустройству моряков для работы в составе экипажей морских судов, плавающих под Государственным флагом Российской Федерации (далее - моряки).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надзор и контроль за соблюдением трудового законодательства и иных нормативных правовых актов, содержащих нормы трудового права в отношении моряков, осуществляется территориальными органами Федеральной службы по труду и занятости - государственными инспекциями труда в субъектах Российской Федерации (далее - госинспекции труда).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 по найму и трудоустройству моряков начиная с 2010 года ежеквартально, до 5 числа месяца, следующего за отчетным периодом, представляют в госинспекцию труда по месту своего фактического местонахождения сведения о нанятых через них моряков в соответствии с </w:t>
      </w:r>
      <w:hyperlink w:history="0" w:anchor="P91" w:tooltip="                                 СВЕДЕН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Положению и копии трудовых договоров, заключенных с моряками по поручению работодателей (далее - трудовые договоры), в течение отчетного квартала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госинспекции труда документы, представленные организациями по найму и трудоустройству моряков, в установленном порядке учитываются в журнале входящей корреспонденции либо в действующей в госинспекции труда электронной системе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Госинспекции труда не позднее 20 числа месяца, следующего за отчетным периодом, в целях осуществления государственного надзора и контроля за соблюдением трудового законодательства и иных нормативных правовых актов, содержащих нормы трудового права в отношении моряков, анализируют документы, представленные организациями по найму и трудоустройству моряков.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нарушений трудового законодательства и иных нормативных правовых актов, содержащих нормы трудового права в отношении моряков, ухудшающих положение моряков, выявленных в результате анализа трудовых договоров, принимаются меры по устранению выявленных нарушений и восстановлению нарушенных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Регистрация трудовых договоров осуществляется госинспекциями труда в виде электронного реестра в соответствии с </w:t>
      </w:r>
      <w:hyperlink w:history="0" w:anchor="P146" w:tooltip="РЕЕСТР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Положению, в котором содержатся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наличии) и место фактического жительства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заключения и номер трудового договора с моряком;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трудового договора (в случаях, когда трудовой договор заключен на определенный срок);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юридический адрес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судна (судов), для работы на котором (которых) заключен трудовой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порт (место) начала работы на судне и порт приписки судна (судов);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организации найма и трудоустройства моряков;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выявленных нарушениях трудового законодательства и иных нормативных правовых актов, содержащих нормы трудового права в отношении моряков, при заключении трудового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принятых мерах по устранению выявленных нарушений трудового законодательства и иных нормативных правовых актов, содержащих нормы трудового права в отношении моряков.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местах нахождения, номерах телефонов и адресах электронной почты госинспекций труда размещаются на официальном сайте Федеральной службы по труду и занятости и сайтах госинспекций труда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</w:t>
      </w:r>
    </w:p>
    <w:p>
      <w:pPr>
        <w:pStyle w:val="0"/>
        <w:jc w:val="right"/>
      </w:pPr>
      <w:r>
        <w:rPr>
          <w:sz w:val="20"/>
        </w:rPr>
        <w:t xml:space="preserve">регистрации в территориальных</w:t>
      </w:r>
    </w:p>
    <w:p>
      <w:pPr>
        <w:pStyle w:val="0"/>
        <w:jc w:val="right"/>
      </w:pPr>
      <w:r>
        <w:rPr>
          <w:sz w:val="20"/>
        </w:rPr>
        <w:t xml:space="preserve">органах Федеральной службы</w:t>
      </w:r>
    </w:p>
    <w:p>
      <w:pPr>
        <w:pStyle w:val="0"/>
        <w:jc w:val="right"/>
      </w:pPr>
      <w:r>
        <w:rPr>
          <w:sz w:val="20"/>
        </w:rPr>
        <w:t xml:space="preserve">по труду и занятости трудовых</w:t>
      </w:r>
    </w:p>
    <w:p>
      <w:pPr>
        <w:pStyle w:val="0"/>
        <w:jc w:val="right"/>
      </w:pPr>
      <w:r>
        <w:rPr>
          <w:sz w:val="20"/>
        </w:rPr>
        <w:t xml:space="preserve">договоров, заключенных</w:t>
      </w:r>
    </w:p>
    <w:p>
      <w:pPr>
        <w:pStyle w:val="0"/>
        <w:jc w:val="right"/>
      </w:pPr>
      <w:r>
        <w:rPr>
          <w:sz w:val="20"/>
        </w:rPr>
        <w:t xml:space="preserve">при посредничестве организаций</w:t>
      </w:r>
    </w:p>
    <w:p>
      <w:pPr>
        <w:pStyle w:val="0"/>
        <w:jc w:val="right"/>
      </w:pPr>
      <w:r>
        <w:rPr>
          <w:sz w:val="20"/>
        </w:rPr>
        <w:t xml:space="preserve">по найму и трудоустройству</w:t>
      </w:r>
    </w:p>
    <w:p>
      <w:pPr>
        <w:pStyle w:val="0"/>
        <w:jc w:val="right"/>
      </w:pPr>
      <w:r>
        <w:rPr>
          <w:sz w:val="20"/>
        </w:rPr>
        <w:t xml:space="preserve">моряков, с российскими</w:t>
      </w:r>
    </w:p>
    <w:p>
      <w:pPr>
        <w:pStyle w:val="0"/>
        <w:jc w:val="right"/>
      </w:pPr>
      <w:r>
        <w:rPr>
          <w:sz w:val="20"/>
        </w:rPr>
        <w:t xml:space="preserve">гражданами, иностранными</w:t>
      </w:r>
    </w:p>
    <w:p>
      <w:pPr>
        <w:pStyle w:val="0"/>
        <w:jc w:val="right"/>
      </w:pPr>
      <w:r>
        <w:rPr>
          <w:sz w:val="20"/>
        </w:rPr>
        <w:t xml:space="preserve">гражданами и лицами</w:t>
      </w:r>
    </w:p>
    <w:p>
      <w:pPr>
        <w:pStyle w:val="0"/>
        <w:jc w:val="right"/>
      </w:pPr>
      <w:r>
        <w:rPr>
          <w:sz w:val="20"/>
        </w:rPr>
        <w:t xml:space="preserve">без гражданства для работы</w:t>
      </w:r>
    </w:p>
    <w:p>
      <w:pPr>
        <w:pStyle w:val="0"/>
        <w:jc w:val="right"/>
      </w:pPr>
      <w:r>
        <w:rPr>
          <w:sz w:val="20"/>
        </w:rPr>
        <w:t xml:space="preserve">в составе экипажей морских</w:t>
      </w:r>
    </w:p>
    <w:p>
      <w:pPr>
        <w:pStyle w:val="0"/>
        <w:jc w:val="right"/>
      </w:pPr>
      <w:r>
        <w:rPr>
          <w:sz w:val="20"/>
        </w:rPr>
        <w:t xml:space="preserve">судов, плавающих под</w:t>
      </w:r>
    </w:p>
    <w:p>
      <w:pPr>
        <w:pStyle w:val="0"/>
        <w:jc w:val="right"/>
      </w:pPr>
      <w:r>
        <w:rPr>
          <w:sz w:val="20"/>
        </w:rPr>
        <w:t xml:space="preserve">Государственным флагом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08.12.2009 N 962н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1"/>
        <w:jc w:val="both"/>
      </w:pPr>
      <w:r>
        <w:rPr>
          <w:sz w:val="18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18"/>
        </w:rPr>
        <w:t xml:space="preserve">             о моряках, нанятых для работы в составе экипажей</w:t>
      </w:r>
    </w:p>
    <w:p>
      <w:pPr>
        <w:pStyle w:val="1"/>
        <w:jc w:val="both"/>
      </w:pPr>
      <w:r>
        <w:rPr>
          <w:sz w:val="18"/>
        </w:rPr>
        <w:t xml:space="preserve">            морских судов, плавающих под Государственным флагом</w:t>
      </w:r>
    </w:p>
    <w:p>
      <w:pPr>
        <w:pStyle w:val="1"/>
        <w:jc w:val="both"/>
      </w:pPr>
      <w:r>
        <w:rPr>
          <w:sz w:val="18"/>
        </w:rPr>
        <w:t xml:space="preserve">                 Российской Федерации, при посредничестве</w:t>
      </w:r>
    </w:p>
    <w:p>
      <w:pPr>
        <w:pStyle w:val="1"/>
        <w:jc w:val="both"/>
      </w:pPr>
      <w:r>
        <w:rPr>
          <w:sz w:val="18"/>
        </w:rPr>
        <w:t xml:space="preserve">          _______________________________________________________</w:t>
      </w:r>
    </w:p>
    <w:p>
      <w:pPr>
        <w:pStyle w:val="1"/>
        <w:jc w:val="both"/>
      </w:pPr>
      <w:r>
        <w:rPr>
          <w:sz w:val="18"/>
        </w:rPr>
        <w:t xml:space="preserve">           (наименование организации по найму и трудоустройству)</w:t>
      </w:r>
    </w:p>
    <w:p>
      <w:pPr>
        <w:pStyle w:val="1"/>
        <w:jc w:val="both"/>
      </w:pPr>
      <w:r>
        <w:rPr>
          <w:sz w:val="18"/>
        </w:rPr>
        <w:t xml:space="preserve">                  за период с ___________ по ____________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  <w:color w:val="392c69"/>
        </w:rPr>
        <w:t xml:space="preserve">    КонсультантПлюс: примечание.</w:t>
      </w:r>
    </w:p>
    <w:p>
      <w:pPr>
        <w:pStyle w:val="1"/>
        <w:jc w:val="both"/>
      </w:pPr>
      <w:r>
        <w:rPr>
          <w:sz w:val="18"/>
          <w:color w:val="392c69"/>
        </w:rPr>
        <w:t xml:space="preserve">    Нумерация  граф в таблице  дана  в соответствии  с официальным  текстом</w:t>
      </w:r>
    </w:p>
    <w:p>
      <w:pPr>
        <w:pStyle w:val="1"/>
        <w:jc w:val="both"/>
      </w:pPr>
      <w:r>
        <w:rPr>
          <w:sz w:val="18"/>
          <w:color w:val="392c69"/>
        </w:rPr>
        <w:t xml:space="preserve">документа.</w:t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432"/>
        <w:gridCol w:w="1512"/>
        <w:gridCol w:w="1188"/>
        <w:gridCol w:w="1080"/>
        <w:gridCol w:w="1512"/>
        <w:gridCol w:w="1620"/>
        <w:gridCol w:w="1404"/>
        <w:gridCol w:w="1296"/>
      </w:tblGrid>
      <w:tr>
        <w:trPr>
          <w:trHeight w:val="225" w:hRule="atLeast"/>
        </w:trPr>
        <w:tc>
          <w:tcPr>
            <w:tcW w:w="540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п/п</w:t>
            </w:r>
          </w:p>
        </w:tc>
        <w:tc>
          <w:tcPr>
            <w:tcW w:w="1620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Фамилия,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имя, отчество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(последнее -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при наличии),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 место 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жительства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моряка    </w:t>
            </w:r>
          </w:p>
        </w:tc>
        <w:tc>
          <w:tcPr>
            <w:tcW w:w="1296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Дата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заключения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и номер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трудового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договора </w:t>
            </w:r>
          </w:p>
        </w:tc>
        <w:tc>
          <w:tcPr>
            <w:tcW w:w="1188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Срок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трудового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договора </w:t>
            </w:r>
          </w:p>
        </w:tc>
        <w:tc>
          <w:tcPr>
            <w:tcW w:w="1620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и юридический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 адрес 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работодателя </w:t>
            </w:r>
          </w:p>
        </w:tc>
        <w:tc>
          <w:tcPr>
            <w:tcW w:w="1728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судна (судов),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для работы на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котором 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(которых)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заключен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трудовой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договор    </w:t>
            </w:r>
          </w:p>
        </w:tc>
        <w:tc>
          <w:tcPr>
            <w:tcW w:w="1512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Наименование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должности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(профессии)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моряка   </w:t>
            </w:r>
          </w:p>
        </w:tc>
        <w:tc>
          <w:tcPr>
            <w:tcW w:w="1404" w:type="dxa"/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Дата начала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работы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и порт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приписки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 судна   </w:t>
            </w:r>
          </w:p>
          <w:p>
            <w:pPr>
              <w:pStyle w:val="1"/>
              <w:jc w:val="both"/>
            </w:pPr>
            <w:r>
              <w:rPr>
                <w:sz w:val="18"/>
              </w:rPr>
              <w:t xml:space="preserve">  (судов)  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  3      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4     </w:t>
            </w:r>
          </w:p>
        </w:tc>
        <w:tc>
          <w:tcPr>
            <w:tcW w:w="118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  6       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 7      </w:t>
            </w:r>
          </w:p>
        </w:tc>
        <w:tc>
          <w:tcPr>
            <w:tcW w:w="140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  <w:t xml:space="preserve">     8     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18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  <w:tc>
          <w:tcPr>
            <w:tcW w:w="140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8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Руководитель организации ___________ __________________________ N тел. __________</w:t>
      </w:r>
    </w:p>
    <w:p>
      <w:pPr>
        <w:pStyle w:val="1"/>
        <w:jc w:val="both"/>
      </w:pPr>
      <w:r>
        <w:rPr>
          <w:sz w:val="18"/>
        </w:rPr>
        <w:t xml:space="preserve">                          (подпись)   (Фамилия, имя, отчество)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</w:t>
      </w:r>
    </w:p>
    <w:p>
      <w:pPr>
        <w:pStyle w:val="0"/>
        <w:jc w:val="right"/>
      </w:pPr>
      <w:r>
        <w:rPr>
          <w:sz w:val="20"/>
        </w:rPr>
        <w:t xml:space="preserve">регистрации в территориальных</w:t>
      </w:r>
    </w:p>
    <w:p>
      <w:pPr>
        <w:pStyle w:val="0"/>
        <w:jc w:val="right"/>
      </w:pPr>
      <w:r>
        <w:rPr>
          <w:sz w:val="20"/>
        </w:rPr>
        <w:t xml:space="preserve">органах Федеральной службы</w:t>
      </w:r>
    </w:p>
    <w:p>
      <w:pPr>
        <w:pStyle w:val="0"/>
        <w:jc w:val="right"/>
      </w:pPr>
      <w:r>
        <w:rPr>
          <w:sz w:val="20"/>
        </w:rPr>
        <w:t xml:space="preserve">по труду и занятости трудовых</w:t>
      </w:r>
    </w:p>
    <w:p>
      <w:pPr>
        <w:pStyle w:val="0"/>
        <w:jc w:val="right"/>
      </w:pPr>
      <w:r>
        <w:rPr>
          <w:sz w:val="20"/>
        </w:rPr>
        <w:t xml:space="preserve">договоров, заключенных</w:t>
      </w:r>
    </w:p>
    <w:p>
      <w:pPr>
        <w:pStyle w:val="0"/>
        <w:jc w:val="right"/>
      </w:pPr>
      <w:r>
        <w:rPr>
          <w:sz w:val="20"/>
        </w:rPr>
        <w:t xml:space="preserve">при посредничестве организаций</w:t>
      </w:r>
    </w:p>
    <w:p>
      <w:pPr>
        <w:pStyle w:val="0"/>
        <w:jc w:val="right"/>
      </w:pPr>
      <w:r>
        <w:rPr>
          <w:sz w:val="20"/>
        </w:rPr>
        <w:t xml:space="preserve">по найму и трудоустройству</w:t>
      </w:r>
    </w:p>
    <w:p>
      <w:pPr>
        <w:pStyle w:val="0"/>
        <w:jc w:val="right"/>
      </w:pPr>
      <w:r>
        <w:rPr>
          <w:sz w:val="20"/>
        </w:rPr>
        <w:t xml:space="preserve">моряков, с российскими</w:t>
      </w:r>
    </w:p>
    <w:p>
      <w:pPr>
        <w:pStyle w:val="0"/>
        <w:jc w:val="right"/>
      </w:pPr>
      <w:r>
        <w:rPr>
          <w:sz w:val="20"/>
        </w:rPr>
        <w:t xml:space="preserve">гражданами, иностранными</w:t>
      </w:r>
    </w:p>
    <w:p>
      <w:pPr>
        <w:pStyle w:val="0"/>
        <w:jc w:val="right"/>
      </w:pPr>
      <w:r>
        <w:rPr>
          <w:sz w:val="20"/>
        </w:rPr>
        <w:t xml:space="preserve">гражданами и лицами</w:t>
      </w:r>
    </w:p>
    <w:p>
      <w:pPr>
        <w:pStyle w:val="0"/>
        <w:jc w:val="right"/>
      </w:pPr>
      <w:r>
        <w:rPr>
          <w:sz w:val="20"/>
        </w:rPr>
        <w:t xml:space="preserve">без гражданства для работы</w:t>
      </w:r>
    </w:p>
    <w:p>
      <w:pPr>
        <w:pStyle w:val="0"/>
        <w:jc w:val="right"/>
      </w:pPr>
      <w:r>
        <w:rPr>
          <w:sz w:val="20"/>
        </w:rPr>
        <w:t xml:space="preserve">в составе экипажей морских</w:t>
      </w:r>
    </w:p>
    <w:p>
      <w:pPr>
        <w:pStyle w:val="0"/>
        <w:jc w:val="right"/>
      </w:pPr>
      <w:r>
        <w:rPr>
          <w:sz w:val="20"/>
        </w:rPr>
        <w:t xml:space="preserve">судов, плавающих под</w:t>
      </w:r>
    </w:p>
    <w:p>
      <w:pPr>
        <w:pStyle w:val="0"/>
        <w:jc w:val="right"/>
      </w:pPr>
      <w:r>
        <w:rPr>
          <w:sz w:val="20"/>
        </w:rPr>
        <w:t xml:space="preserve">Государственным флагом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8 декабря 2009 г. N 962н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трудовых договоров, заключенных с моряками организациями</w:t>
      </w:r>
    </w:p>
    <w:p>
      <w:pPr>
        <w:pStyle w:val="0"/>
        <w:jc w:val="center"/>
      </w:pPr>
      <w:r>
        <w:rPr>
          <w:sz w:val="20"/>
        </w:rPr>
        <w:t xml:space="preserve">по найму и трудоустройству моряков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324"/>
        <w:gridCol w:w="567"/>
        <w:gridCol w:w="648"/>
        <w:gridCol w:w="891"/>
        <w:gridCol w:w="567"/>
        <w:gridCol w:w="810"/>
        <w:gridCol w:w="810"/>
        <w:gridCol w:w="891"/>
        <w:gridCol w:w="729"/>
        <w:gridCol w:w="810"/>
        <w:gridCol w:w="1215"/>
        <w:gridCol w:w="891"/>
      </w:tblGrid>
      <w:tr>
        <w:trPr>
          <w:trHeight w:val="180" w:hRule="atLeast"/>
        </w:trPr>
        <w:tc>
          <w:tcPr>
            <w:tcW w:w="405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п/п</w:t>
            </w:r>
          </w:p>
        </w:tc>
        <w:tc>
          <w:tcPr>
            <w:tcW w:w="648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ФИО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моряка</w:t>
            </w:r>
          </w:p>
        </w:tc>
        <w:tc>
          <w:tcPr>
            <w:tcW w:w="729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Место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житель-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ства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моряка </w:t>
            </w:r>
          </w:p>
        </w:tc>
        <w:tc>
          <w:tcPr>
            <w:tcW w:w="972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Дата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заключения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и номер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трудового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договора </w:t>
            </w:r>
          </w:p>
        </w:tc>
        <w:tc>
          <w:tcPr>
            <w:tcW w:w="648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Срок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трудо-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вого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дого-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вора  </w:t>
            </w:r>
          </w:p>
        </w:tc>
        <w:tc>
          <w:tcPr>
            <w:tcW w:w="891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Наимено-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вание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должности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(профес-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сии) 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моряка   </w:t>
            </w:r>
          </w:p>
        </w:tc>
        <w:tc>
          <w:tcPr>
            <w:tcW w:w="891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Наимено-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вание и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юридичес-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кий адрес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работода-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теля     </w:t>
            </w:r>
          </w:p>
        </w:tc>
        <w:tc>
          <w:tcPr>
            <w:tcW w:w="972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Наимено-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вание 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судна 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(судов),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для работы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на котором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(которых)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заключен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трудовой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договор   </w:t>
            </w:r>
          </w:p>
        </w:tc>
        <w:tc>
          <w:tcPr>
            <w:tcW w:w="810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Дата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начала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работы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и порт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приписки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судна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(судов) </w:t>
            </w:r>
          </w:p>
        </w:tc>
        <w:tc>
          <w:tcPr>
            <w:tcW w:w="891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Наимено-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вание и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юридичес-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кий адрес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органи-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зации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найма и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трудоуст-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ройства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моряков  </w:t>
            </w:r>
          </w:p>
        </w:tc>
        <w:tc>
          <w:tcPr>
            <w:tcW w:w="1296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Сведения о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выявленных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нарушениях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трудового 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законодательс-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тва при заклю-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чении трудово-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го договора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(ссылка на   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нормы, которые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нарушены)     </w:t>
            </w:r>
          </w:p>
        </w:tc>
        <w:tc>
          <w:tcPr>
            <w:tcW w:w="972" w:type="dxa"/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Сведения о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принятых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 мерах по 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устранению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выявленных</w:t>
            </w:r>
          </w:p>
          <w:p>
            <w:pPr>
              <w:pStyle w:val="1"/>
              <w:jc w:val="both"/>
            </w:pPr>
            <w:r>
              <w:rPr>
                <w:sz w:val="14"/>
              </w:rPr>
              <w:t xml:space="preserve">нарушений 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2   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4     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5   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6    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7    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8    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9    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10    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  11      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  <w:t xml:space="preserve">    12    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14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08.12.2009 N 962н</w:t>
            <w:br/>
            <w:t>"Об утверждении Положения о порядке регистрации в территориальных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B4D71B64AA73B2AFB950EBADDE5C391610D2B33DE0FA87915F5B1AE3BEDEE69EF676F0C1E66C045E7EBD707CA724E8442BDDA9B39B2AE4P9d9J" TargetMode = "External"/>
	<Relationship Id="rId8" Type="http://schemas.openxmlformats.org/officeDocument/2006/relationships/hyperlink" Target="consultantplus://offline/ref=36B4D71B64AA73B2AFB950EBADDE5C391616D7B63AE0FA87915F5B1AE3BEDEE68CF62EFCC3E772045F6BEB213APFd1J" TargetMode = "External"/>
	<Relationship Id="rId9" Type="http://schemas.openxmlformats.org/officeDocument/2006/relationships/hyperlink" Target="consultantplus://offline/ref=36B4D71B64AA73B2AFB950EBADDE5C391614D0B438E6FA87915F5B1AE3BEDEE69EF676F0C1E66C055E7EBD707CA724E8442BDDA9B39B2AE4P9d9J" TargetMode = "External"/>
	<Relationship Id="rId10" Type="http://schemas.openxmlformats.org/officeDocument/2006/relationships/hyperlink" Target="consultantplus://offline/ref=36B4D71B64AA73B2AFB950EBADDE5C391610D2B33DE0FA87915F5B1AE3BEDEE68CF62EFCC3E772045F6BEB213APFd1J" TargetMode = "External"/>
	<Relationship Id="rId11" Type="http://schemas.openxmlformats.org/officeDocument/2006/relationships/hyperlink" Target="consultantplus://offline/ref=36B4D71B64AA73B2AFB950EBADDE5C391616D7B63AE0FA87915F5B1AE3BEDEE68CF62EFCC3E772045F6BEB213APFd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08.12.2009 N 962н
"Об утверждении Положения о порядке регистрации в территориальных органах Федеральной службы по труду и занятости трудовых договоров, заключенных при посредничестве организаций по найму и трудоустройству моряков, с российскими гражданами, иностранными гражданами и лицами без гражданства для работы в составе экипажей морских судов, плавающих под Государственным флагом Российской Федерации"
(Зарегистрировано в Минюсте РФ 22.01.2010 N 16038)</dc:title>
  <dcterms:created xsi:type="dcterms:W3CDTF">2023-04-21T09:29:13Z</dcterms:created>
</cp:coreProperties>
</file>